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743C0" w14:textId="77777777" w:rsidR="005323A3" w:rsidRDefault="005323A3" w:rsidP="00C33187">
      <w:bookmarkStart w:id="0" w:name="_GoBack"/>
      <w:bookmarkEnd w:id="0"/>
    </w:p>
    <w:p w14:paraId="641EC8F5" w14:textId="77777777" w:rsidR="005323A3" w:rsidRDefault="005323A3" w:rsidP="00C33187"/>
    <w:p w14:paraId="0C103F4A" w14:textId="77777777" w:rsidR="005323A3" w:rsidRDefault="005323A3" w:rsidP="00C33187"/>
    <w:p w14:paraId="6658BD04" w14:textId="77777777" w:rsidR="005323A3" w:rsidRDefault="005323A3" w:rsidP="00C33187"/>
    <w:p w14:paraId="75583910" w14:textId="77777777" w:rsidR="005323A3" w:rsidRDefault="005323A3" w:rsidP="00C33187"/>
    <w:p w14:paraId="54920942" w14:textId="77777777" w:rsidR="005323A3" w:rsidRDefault="005323A3" w:rsidP="00C33187"/>
    <w:p w14:paraId="0179F8EE" w14:textId="77777777" w:rsidR="005323A3" w:rsidRDefault="005323A3" w:rsidP="00C33187"/>
    <w:p w14:paraId="3F4F6EAB" w14:textId="77777777" w:rsidR="005323A3" w:rsidRDefault="005323A3" w:rsidP="005323A3">
      <w:pPr>
        <w:spacing w:line="480" w:lineRule="auto"/>
        <w:jc w:val="center"/>
      </w:pPr>
      <w:r w:rsidRPr="000C53DD">
        <w:t>3-2 Milestone One: Case Study One</w:t>
      </w:r>
      <w:r w:rsidRPr="00AD0F9E">
        <w:t xml:space="preserve">  </w:t>
      </w:r>
    </w:p>
    <w:p w14:paraId="65557667" w14:textId="77777777" w:rsidR="005323A3" w:rsidRDefault="00862E05" w:rsidP="005323A3">
      <w:pPr>
        <w:spacing w:line="480" w:lineRule="auto"/>
        <w:jc w:val="center"/>
      </w:pPr>
      <w:r>
        <w:t>Noel Figueroa</w:t>
      </w:r>
    </w:p>
    <w:p w14:paraId="1AAC4262" w14:textId="77777777" w:rsidR="005323A3" w:rsidRPr="00AD0F9E" w:rsidRDefault="005323A3" w:rsidP="005323A3">
      <w:pPr>
        <w:spacing w:line="480" w:lineRule="auto"/>
        <w:jc w:val="center"/>
      </w:pPr>
      <w:r>
        <w:t>BUS 206</w:t>
      </w:r>
      <w:r w:rsidRPr="00AD0F9E">
        <w:t xml:space="preserve"> </w:t>
      </w:r>
    </w:p>
    <w:p w14:paraId="5D7B71D5" w14:textId="77777777" w:rsidR="00AD6D6E" w:rsidRDefault="005323A3" w:rsidP="00862E05">
      <w:pPr>
        <w:spacing w:line="480" w:lineRule="auto"/>
        <w:jc w:val="center"/>
      </w:pPr>
      <w:r w:rsidRPr="00AD0F9E">
        <w:t>Southern New Hampshire University</w:t>
      </w:r>
    </w:p>
    <w:p w14:paraId="63CAD61D" w14:textId="128779AA" w:rsidR="005323A3" w:rsidRPr="00AD0F9E" w:rsidRDefault="0067191F" w:rsidP="005323A3">
      <w:pPr>
        <w:spacing w:line="480" w:lineRule="auto"/>
        <w:jc w:val="center"/>
      </w:pPr>
      <w:r>
        <w:rPr>
          <w:noProof/>
        </w:rPr>
        <w:fldChar w:fldCharType="begin"/>
      </w:r>
      <w:r>
        <w:rPr>
          <w:noProof/>
        </w:rPr>
        <w:instrText xml:space="preserve"> DATE \@ "MMMM d, yyyy" </w:instrText>
      </w:r>
      <w:r>
        <w:rPr>
          <w:noProof/>
        </w:rPr>
        <w:fldChar w:fldCharType="separate"/>
      </w:r>
      <w:r w:rsidR="00B25963">
        <w:rPr>
          <w:noProof/>
        </w:rPr>
        <w:t>December 11, 2018</w:t>
      </w:r>
      <w:r>
        <w:rPr>
          <w:noProof/>
        </w:rPr>
        <w:fldChar w:fldCharType="end"/>
      </w:r>
    </w:p>
    <w:p w14:paraId="7784F94A" w14:textId="77777777" w:rsidR="005323A3" w:rsidRDefault="005323A3" w:rsidP="005323A3">
      <w:pPr>
        <w:spacing w:line="480" w:lineRule="auto"/>
      </w:pPr>
    </w:p>
    <w:p w14:paraId="435C7528" w14:textId="77777777" w:rsidR="005323A3" w:rsidRDefault="005323A3" w:rsidP="00C33187"/>
    <w:p w14:paraId="4D076150" w14:textId="77777777" w:rsidR="005323A3" w:rsidRDefault="005323A3" w:rsidP="00C33187"/>
    <w:p w14:paraId="2F2D157A" w14:textId="77777777" w:rsidR="005323A3" w:rsidRDefault="005323A3" w:rsidP="00C33187"/>
    <w:p w14:paraId="6F9DB3DF" w14:textId="77777777" w:rsidR="005323A3" w:rsidRDefault="005323A3" w:rsidP="00C33187"/>
    <w:p w14:paraId="100A67F4" w14:textId="77777777" w:rsidR="005323A3" w:rsidRDefault="005323A3" w:rsidP="00C33187"/>
    <w:p w14:paraId="7A42AB84" w14:textId="77777777" w:rsidR="005323A3" w:rsidRDefault="005323A3" w:rsidP="00C33187"/>
    <w:p w14:paraId="6ABAE9C7" w14:textId="77777777" w:rsidR="005323A3" w:rsidRDefault="005323A3" w:rsidP="00C33187"/>
    <w:p w14:paraId="1FA756D4" w14:textId="77777777" w:rsidR="005323A3" w:rsidRDefault="005323A3" w:rsidP="00C33187"/>
    <w:p w14:paraId="71BACD31" w14:textId="77777777" w:rsidR="005323A3" w:rsidRDefault="005323A3" w:rsidP="00C33187"/>
    <w:p w14:paraId="265ECA43" w14:textId="77777777" w:rsidR="005323A3" w:rsidRDefault="005323A3" w:rsidP="00C33187"/>
    <w:p w14:paraId="1D8230C0" w14:textId="77777777" w:rsidR="003B4126" w:rsidRDefault="003B4126" w:rsidP="003B4126">
      <w:pPr>
        <w:jc w:val="center"/>
      </w:pPr>
    </w:p>
    <w:p w14:paraId="2695095F" w14:textId="77777777" w:rsidR="008B1825" w:rsidRDefault="008B1825" w:rsidP="003B4126">
      <w:pPr>
        <w:jc w:val="center"/>
      </w:pPr>
    </w:p>
    <w:p w14:paraId="3E955043" w14:textId="77777777" w:rsidR="00D036BA" w:rsidRPr="001E060B" w:rsidRDefault="00C33187" w:rsidP="001E060B">
      <w:pPr>
        <w:spacing w:line="480" w:lineRule="auto"/>
      </w:pPr>
      <w:r w:rsidRPr="00853C91">
        <w:lastRenderedPageBreak/>
        <w:t xml:space="preserve">A. </w:t>
      </w:r>
      <w:r w:rsidRPr="00853C91">
        <w:tab/>
      </w:r>
      <w:r w:rsidRPr="001E060B">
        <w:rPr>
          <w:b/>
        </w:rPr>
        <w:t>Rules of Jurisdiction</w:t>
      </w:r>
    </w:p>
    <w:p w14:paraId="0134F083" w14:textId="768F890F" w:rsidR="00674DBD" w:rsidRPr="001E060B" w:rsidRDefault="008B1825" w:rsidP="001E060B">
      <w:pPr>
        <w:spacing w:line="480" w:lineRule="auto"/>
        <w:ind w:firstLine="720"/>
      </w:pPr>
      <w:r w:rsidRPr="001E060B">
        <w:rPr>
          <w:rStyle w:val="hvr"/>
          <w:shd w:val="clear" w:color="auto" w:fill="FFFFFF"/>
        </w:rPr>
        <w:t xml:space="preserve">Jurisdiction is the authority over a certain area or persons (Legal Dictionary). </w:t>
      </w:r>
      <w:r w:rsidR="00B22CA9" w:rsidRPr="001E060B">
        <w:rPr>
          <w:rStyle w:val="hvr"/>
          <w:shd w:val="clear" w:color="auto" w:fill="FFFFFF"/>
        </w:rPr>
        <w:t xml:space="preserve">There are a few factors that we need to look at to determine the proper court for this case. There are three critical elements that can assist in finding the proper court for this case, and they are personal jurisdiction, subject-matter jurisdiction and minimum contacts. </w:t>
      </w:r>
      <w:r w:rsidR="00B22CA9" w:rsidRPr="001E060B">
        <w:t>Personal jurisdiction is the power of a court to render a decision affecting a person’s legal rights.</w:t>
      </w:r>
      <w:sdt>
        <w:sdtPr>
          <w:id w:val="-373540412"/>
          <w:citation/>
        </w:sdtPr>
        <w:sdtEndPr/>
        <w:sdtContent>
          <w:r w:rsidR="00B22CA9" w:rsidRPr="001E060B">
            <w:fldChar w:fldCharType="begin"/>
          </w:r>
          <w:r w:rsidR="00B22CA9" w:rsidRPr="001E060B">
            <w:instrText xml:space="preserve"> CITATION Kub \l 1033 </w:instrText>
          </w:r>
          <w:r w:rsidR="00B22CA9" w:rsidRPr="001E060B">
            <w:fldChar w:fldCharType="separate"/>
          </w:r>
          <w:r w:rsidR="00D30F1C" w:rsidRPr="001E060B">
            <w:rPr>
              <w:noProof/>
            </w:rPr>
            <w:t xml:space="preserve"> (Kubasek, et al.)</w:t>
          </w:r>
          <w:r w:rsidR="00B22CA9" w:rsidRPr="001E060B">
            <w:fldChar w:fldCharType="end"/>
          </w:r>
        </w:sdtContent>
      </w:sdt>
      <w:r w:rsidR="00B22CA9" w:rsidRPr="001E060B">
        <w:t xml:space="preserve"> In this case, Personal jurisdiction applies because </w:t>
      </w:r>
      <w:r w:rsidR="00674DBD" w:rsidRPr="001E060B">
        <w:t xml:space="preserve">Funny Face clearly states that you cannot take the owners to court, so now the court will need to render a choice to give Margolin and his company the rights back to be able to seek justice. Subject matter jurisdiction is the power of a court to render a decision in a </w:t>
      </w:r>
      <w:proofErr w:type="gramStart"/>
      <w:r w:rsidR="00674DBD" w:rsidRPr="001E060B">
        <w:t>particular type of case</w:t>
      </w:r>
      <w:proofErr w:type="gramEnd"/>
      <w:r w:rsidR="00674DBD" w:rsidRPr="001E060B">
        <w:t xml:space="preserve">. The three forms of subject-matter jurisdiction are state, exclusive federal, and concurrent. </w:t>
      </w:r>
      <w:sdt>
        <w:sdtPr>
          <w:id w:val="533086772"/>
          <w:citation/>
        </w:sdtPr>
        <w:sdtEndPr/>
        <w:sdtContent>
          <w:r w:rsidR="00674DBD" w:rsidRPr="001E060B">
            <w:fldChar w:fldCharType="begin"/>
          </w:r>
          <w:r w:rsidR="00674DBD" w:rsidRPr="001E060B">
            <w:instrText xml:space="preserve"> CITATION Kub \l 1033 </w:instrText>
          </w:r>
          <w:r w:rsidR="00674DBD" w:rsidRPr="001E060B">
            <w:fldChar w:fldCharType="separate"/>
          </w:r>
          <w:r w:rsidR="00D30F1C" w:rsidRPr="001E060B">
            <w:rPr>
              <w:noProof/>
            </w:rPr>
            <w:t>(Kubasek, et al.)</w:t>
          </w:r>
          <w:r w:rsidR="00674DBD" w:rsidRPr="001E060B">
            <w:fldChar w:fldCharType="end"/>
          </w:r>
        </w:sdtContent>
      </w:sdt>
      <w:r w:rsidR="00674DBD" w:rsidRPr="001E060B">
        <w:t xml:space="preserve"> Subject matter jurisdiction applies to this case because multiple states are involved, and the courts will need to render a decision that will brings them together. The three forms of subject-matter jurisdiction are state, exclusive federal, and concurrent. </w:t>
      </w:r>
      <w:sdt>
        <w:sdtPr>
          <w:id w:val="1762802607"/>
          <w:citation/>
        </w:sdtPr>
        <w:sdtEndPr/>
        <w:sdtContent>
          <w:r w:rsidR="00674DBD" w:rsidRPr="001E060B">
            <w:rPr>
              <w:noProof/>
            </w:rPr>
            <w:fldChar w:fldCharType="begin"/>
          </w:r>
          <w:r w:rsidR="00674DBD" w:rsidRPr="001E060B">
            <w:rPr>
              <w:noProof/>
            </w:rPr>
            <w:instrText xml:space="preserve"> CITATION Kub \l 1033 </w:instrText>
          </w:r>
          <w:r w:rsidR="00674DBD" w:rsidRPr="001E060B">
            <w:rPr>
              <w:noProof/>
            </w:rPr>
            <w:fldChar w:fldCharType="separate"/>
          </w:r>
          <w:r w:rsidR="00D30F1C" w:rsidRPr="001E060B">
            <w:rPr>
              <w:noProof/>
            </w:rPr>
            <w:t>(Kubasek, et al.)</w:t>
          </w:r>
          <w:r w:rsidR="00674DBD" w:rsidRPr="001E060B">
            <w:rPr>
              <w:noProof/>
            </w:rPr>
            <w:fldChar w:fldCharType="end"/>
          </w:r>
        </w:sdtContent>
      </w:sdt>
      <w:r w:rsidR="00674DBD" w:rsidRPr="001E060B">
        <w:t xml:space="preserve">. Minimum contacts </w:t>
      </w:r>
      <w:r w:rsidR="00A11353" w:rsidRPr="001E060B">
        <w:t xml:space="preserve">will play a role in this case because all the parties are from different states. The courts </w:t>
      </w:r>
      <w:proofErr w:type="gramStart"/>
      <w:r w:rsidR="00A11353" w:rsidRPr="001E060B">
        <w:t>have to</w:t>
      </w:r>
      <w:proofErr w:type="gramEnd"/>
      <w:r w:rsidR="00A11353" w:rsidRPr="001E060B">
        <w:t xml:space="preserve"> decide which state will be allowed to assert jurisdiction over each defendant. </w:t>
      </w:r>
    </w:p>
    <w:p w14:paraId="66FB80B8" w14:textId="77777777" w:rsidR="00674DBD" w:rsidRPr="001E060B" w:rsidRDefault="00674DBD" w:rsidP="001E060B">
      <w:pPr>
        <w:spacing w:line="480" w:lineRule="auto"/>
        <w:ind w:firstLine="720"/>
        <w:rPr>
          <w:rStyle w:val="hvr"/>
        </w:rPr>
      </w:pPr>
    </w:p>
    <w:p w14:paraId="5985F659" w14:textId="77777777" w:rsidR="008B1825" w:rsidRPr="001E060B" w:rsidRDefault="008B1825" w:rsidP="001E060B">
      <w:pPr>
        <w:spacing w:line="480" w:lineRule="auto"/>
        <w:ind w:firstLine="720"/>
        <w:rPr>
          <w:rStyle w:val="hvr"/>
          <w:shd w:val="clear" w:color="auto" w:fill="FFFFFF"/>
        </w:rPr>
      </w:pPr>
    </w:p>
    <w:p w14:paraId="0348A208" w14:textId="77777777" w:rsidR="00DC1DD4" w:rsidRPr="001E060B" w:rsidRDefault="00DC1DD4" w:rsidP="001E060B">
      <w:pPr>
        <w:spacing w:line="480" w:lineRule="auto"/>
      </w:pPr>
      <w:r w:rsidRPr="001E060B">
        <w:t xml:space="preserve">B. </w:t>
      </w:r>
      <w:r w:rsidRPr="001E060B">
        <w:tab/>
      </w:r>
      <w:r w:rsidRPr="001E060B">
        <w:rPr>
          <w:b/>
        </w:rPr>
        <w:t>Alternative Dispute Resolution</w:t>
      </w:r>
    </w:p>
    <w:p w14:paraId="147CBD63" w14:textId="3D6FE60C" w:rsidR="00A11353" w:rsidRPr="001E060B" w:rsidRDefault="00697138" w:rsidP="001E060B">
      <w:pPr>
        <w:spacing w:line="480" w:lineRule="auto"/>
        <w:ind w:firstLine="720"/>
      </w:pPr>
      <w:proofErr w:type="gramStart"/>
      <w:r w:rsidRPr="001E060B">
        <w:rPr>
          <w:bCs/>
          <w:shd w:val="clear" w:color="auto" w:fill="FFFFFF"/>
        </w:rPr>
        <w:t>Alternative dispute resolution</w:t>
      </w:r>
      <w:r w:rsidR="00A11353" w:rsidRPr="001E060B">
        <w:rPr>
          <w:rStyle w:val="apple-converted-space"/>
          <w:shd w:val="clear" w:color="auto" w:fill="FFFFFF"/>
        </w:rPr>
        <w:t xml:space="preserve"> or ADR,</w:t>
      </w:r>
      <w:proofErr w:type="gramEnd"/>
      <w:r w:rsidR="00A11353" w:rsidRPr="001E060B">
        <w:rPr>
          <w:rStyle w:val="apple-converted-space"/>
          <w:shd w:val="clear" w:color="auto" w:fill="FFFFFF"/>
        </w:rPr>
        <w:t xml:space="preserve"> is a process where a parties can settle a dispute away from the courts. Parties can come to a resolution with or without the interjection of a third </w:t>
      </w:r>
      <w:r w:rsidR="00A11353" w:rsidRPr="001E060B">
        <w:rPr>
          <w:rStyle w:val="apple-converted-space"/>
          <w:shd w:val="clear" w:color="auto" w:fill="FFFFFF"/>
        </w:rPr>
        <w:lastRenderedPageBreak/>
        <w:t xml:space="preserve">party. If the parties can sit down and properly use ADR, and come to a resolution, this process would save them time and or money. </w:t>
      </w:r>
      <w:r w:rsidRPr="001E060B">
        <w:t xml:space="preserve"> </w:t>
      </w:r>
    </w:p>
    <w:p w14:paraId="107A4674" w14:textId="417CD5C4" w:rsidR="00697138" w:rsidRPr="001E060B" w:rsidRDefault="00E60D99" w:rsidP="001E060B">
      <w:pPr>
        <w:pStyle w:val="NormalWeb"/>
        <w:shd w:val="clear" w:color="auto" w:fill="FFFFFF"/>
        <w:spacing w:before="120" w:beforeAutospacing="0" w:after="120" w:afterAutospacing="0" w:line="480" w:lineRule="auto"/>
        <w:ind w:firstLine="720"/>
      </w:pPr>
      <w:r w:rsidRPr="001E060B">
        <w:t>.</w:t>
      </w:r>
    </w:p>
    <w:p w14:paraId="3DED7F32" w14:textId="77777777" w:rsidR="001470CD" w:rsidRPr="001E060B" w:rsidRDefault="001470CD" w:rsidP="001E060B">
      <w:pPr>
        <w:spacing w:line="480" w:lineRule="auto"/>
      </w:pPr>
      <w:r w:rsidRPr="001E060B">
        <w:t xml:space="preserve">C. </w:t>
      </w:r>
      <w:r w:rsidRPr="001E060B">
        <w:tab/>
      </w:r>
      <w:r w:rsidRPr="001E060B">
        <w:rPr>
          <w:b/>
        </w:rPr>
        <w:t>ADR Preference</w:t>
      </w:r>
    </w:p>
    <w:p w14:paraId="7104A2A3" w14:textId="5BC0FA4C" w:rsidR="007D7C6C" w:rsidRPr="001E060B" w:rsidRDefault="007D7C6C" w:rsidP="001E060B">
      <w:pPr>
        <w:spacing w:line="480" w:lineRule="auto"/>
        <w:ind w:firstLine="720"/>
      </w:pPr>
      <w:r w:rsidRPr="001E060B">
        <w:t>For the Funny Face company, it appears that their website limits any claim against them. For them, there are many advantages and disadvantages for them to use arbitration. The advantage for Funny Face is that they will incur limited cases against them</w:t>
      </w:r>
      <w:r w:rsidR="000A41BC" w:rsidRPr="001E060B">
        <w:t xml:space="preserve"> and legal responsibilities and charges are nearly nonexistent. The disadvantages would be that they could be in trouble of violating some laws due to the arbitration agreement they have. In this case they decided to use PYR, a chemical that is not approved by the FDA. By violating federal law, their arbitration agreement could be useless, and the company can be forced into a legal battle. </w:t>
      </w:r>
      <w:r w:rsidR="00D56414" w:rsidRPr="001E060B">
        <w:t xml:space="preserve">For Funny face, mediation </w:t>
      </w:r>
      <w:r w:rsidR="005C7AF1" w:rsidRPr="001E060B">
        <w:t>may be able to assist</w:t>
      </w:r>
    </w:p>
    <w:p w14:paraId="50EC8FB5" w14:textId="3FEC0687" w:rsidR="00C83FA9" w:rsidRPr="001E060B" w:rsidRDefault="009D74D6" w:rsidP="001E060B">
      <w:pPr>
        <w:spacing w:line="480" w:lineRule="auto"/>
        <w:ind w:firstLine="720"/>
      </w:pPr>
      <w:r w:rsidRPr="001E060B">
        <w:t>Novelty</w:t>
      </w:r>
      <w:r w:rsidR="00D913A9" w:rsidRPr="001E060B">
        <w:t xml:space="preserve"> Now has advantages a</w:t>
      </w:r>
      <w:r w:rsidRPr="001E060B">
        <w:t>nd disadvantages of arbitration. A</w:t>
      </w:r>
      <w:r w:rsidR="00C83FA9" w:rsidRPr="001E060B">
        <w:t>n advantage for them is that because they are the middle men in the situation, they can use arbitration to keep them involved. The disadvantage to them using arbitration, is that the Funny Face company asked them to use a chemical that was not federally approved, which makes them liable, because they knew that they should have placed warning labels stating that some of the ingredients are not approved by the FDA</w:t>
      </w:r>
      <w:r w:rsidR="005C7AF1" w:rsidRPr="001E060B">
        <w:t>. Novelty Now could use conciliation for their ADR</w:t>
      </w:r>
      <w:r w:rsidR="00C83FA9" w:rsidRPr="001E060B">
        <w:t xml:space="preserve"> </w:t>
      </w:r>
    </w:p>
    <w:p w14:paraId="46F88BA8" w14:textId="18FB996D" w:rsidR="005C7AF1" w:rsidRPr="001E060B" w:rsidRDefault="005C7AF1" w:rsidP="001E060B">
      <w:pPr>
        <w:spacing w:line="480" w:lineRule="auto"/>
        <w:ind w:firstLine="720"/>
      </w:pPr>
      <w:r w:rsidRPr="001E060B">
        <w:t xml:space="preserve">Margolin and his company could need arbitration. Margolin and his company in is stuck trying to get his case heard and now may have to try and have it heard in Florida. </w:t>
      </w:r>
    </w:p>
    <w:p w14:paraId="48834FCC" w14:textId="77777777" w:rsidR="005C7AF1" w:rsidRPr="001E060B" w:rsidRDefault="005C7AF1" w:rsidP="001E060B">
      <w:pPr>
        <w:spacing w:line="480" w:lineRule="auto"/>
      </w:pPr>
    </w:p>
    <w:p w14:paraId="3F3F0B30" w14:textId="77777777" w:rsidR="005C7AF1" w:rsidRPr="001E060B" w:rsidRDefault="005C7AF1" w:rsidP="001E060B">
      <w:pPr>
        <w:spacing w:line="480" w:lineRule="auto"/>
      </w:pPr>
    </w:p>
    <w:p w14:paraId="541E91C6" w14:textId="77777777" w:rsidR="005C7AF1" w:rsidRPr="001E060B" w:rsidRDefault="005C7AF1" w:rsidP="001E060B">
      <w:pPr>
        <w:spacing w:line="480" w:lineRule="auto"/>
      </w:pPr>
    </w:p>
    <w:p w14:paraId="02B96ACD" w14:textId="709D0D92" w:rsidR="00C33187" w:rsidRPr="001E060B" w:rsidRDefault="00C33187" w:rsidP="001E060B">
      <w:pPr>
        <w:spacing w:line="480" w:lineRule="auto"/>
      </w:pPr>
      <w:r w:rsidRPr="001E060B">
        <w:t xml:space="preserve">D. </w:t>
      </w:r>
      <w:r w:rsidRPr="001E060B">
        <w:tab/>
      </w:r>
      <w:r w:rsidRPr="001E060B">
        <w:rPr>
          <w:b/>
        </w:rPr>
        <w:t>Criminal Acts</w:t>
      </w:r>
    </w:p>
    <w:p w14:paraId="06FC2CBD" w14:textId="15CC8875" w:rsidR="005C7AF1" w:rsidRPr="001E060B" w:rsidRDefault="005C7AF1" w:rsidP="001E060B">
      <w:pPr>
        <w:spacing w:line="480" w:lineRule="auto"/>
        <w:ind w:firstLine="720"/>
      </w:pPr>
      <w:r w:rsidRPr="001E060B">
        <w:t xml:space="preserve">There are many reasons why corporations and corporate officers should be liable for criminal acts.  A criminal act is an act committed by a person that violates a law and which is punishable by the government. Corporations and corporate officers should liable regardless of involvement, because ultimately, it is their responsibility to hold their employees accountable to all legal standards within their state.  In this case, </w:t>
      </w:r>
      <w:r w:rsidR="003B61E5" w:rsidRPr="001E060B">
        <w:t xml:space="preserve">the CEO of </w:t>
      </w:r>
      <w:r w:rsidRPr="001E060B">
        <w:t>Novelty Now</w:t>
      </w:r>
      <w:r w:rsidR="003B61E5" w:rsidRPr="001E060B">
        <w:t xml:space="preserve"> may not have been kept in the loop about the replacement of the </w:t>
      </w:r>
      <w:r w:rsidRPr="001E060B">
        <w:t xml:space="preserve">PYR chemicals in the aftershave, but his company still supplied the aftershave to Funny Face and approved the production of it.  He should be held just as liable as the person or people involved in that decision.  </w:t>
      </w:r>
    </w:p>
    <w:p w14:paraId="0A6CE0E9" w14:textId="77777777" w:rsidR="00C33187" w:rsidRPr="001E060B" w:rsidRDefault="00C33187" w:rsidP="001E060B">
      <w:pPr>
        <w:spacing w:line="480" w:lineRule="auto"/>
        <w:rPr>
          <w:b/>
        </w:rPr>
      </w:pPr>
      <w:r w:rsidRPr="001E060B">
        <w:rPr>
          <w:b/>
        </w:rPr>
        <w:t xml:space="preserve">E. </w:t>
      </w:r>
      <w:r w:rsidRPr="001E060B">
        <w:rPr>
          <w:b/>
        </w:rPr>
        <w:tab/>
        <w:t xml:space="preserve">Potential Criminal Acts </w:t>
      </w:r>
    </w:p>
    <w:p w14:paraId="0DFCFBBA" w14:textId="634C4FC4" w:rsidR="00C33187" w:rsidRPr="001E060B" w:rsidRDefault="00C33187" w:rsidP="001E060B">
      <w:pPr>
        <w:spacing w:line="480" w:lineRule="auto"/>
        <w:ind w:firstLine="720"/>
      </w:pPr>
      <w:r w:rsidRPr="001E060B">
        <w:t>Chris, Matt and Ian could be liable to corporate criminal obligation.</w:t>
      </w:r>
      <w:r w:rsidR="006D2545" w:rsidRPr="001E060B">
        <w:t xml:space="preserve"> Looking at this case, it seems to me that the primary crime committed was that of fraud. Both Funny Face and Novelty Now could be prosecuted for fraud, because they knowingly introduced a chemical to the product that was not federally approved in hopes for financial gain. Placing the PYR chemical into the product was solely done to bring down the cost of producing the product but still having the same high cost to consumers. </w:t>
      </w:r>
    </w:p>
    <w:p w14:paraId="3D51C113" w14:textId="77777777" w:rsidR="00C33187" w:rsidRPr="001E060B" w:rsidRDefault="00C33187" w:rsidP="001E060B">
      <w:pPr>
        <w:spacing w:line="480" w:lineRule="auto"/>
        <w:rPr>
          <w:b/>
        </w:rPr>
      </w:pPr>
      <w:r w:rsidRPr="001E060B">
        <w:rPr>
          <w:b/>
        </w:rPr>
        <w:t xml:space="preserve">F. </w:t>
      </w:r>
      <w:r w:rsidRPr="001E060B">
        <w:rPr>
          <w:b/>
        </w:rPr>
        <w:tab/>
        <w:t xml:space="preserve">Potential Criminal Liability </w:t>
      </w:r>
    </w:p>
    <w:p w14:paraId="00A55D1C" w14:textId="1DF095E9" w:rsidR="00BF3898" w:rsidRPr="001E060B" w:rsidRDefault="00BF3898" w:rsidP="001E060B">
      <w:pPr>
        <w:spacing w:line="480" w:lineRule="auto"/>
        <w:ind w:firstLine="720"/>
      </w:pPr>
      <w:proofErr w:type="gramStart"/>
      <w:r w:rsidRPr="001E060B">
        <w:t>Assuming that</w:t>
      </w:r>
      <w:proofErr w:type="gramEnd"/>
      <w:r w:rsidRPr="001E060B">
        <w:t xml:space="preserve"> the use of the emulsifier PYR is a criminal offense, both Funny Face and Novelty Now should be criminally liable. Both parties willingly decided to change the original formula</w:t>
      </w:r>
      <w:r w:rsidR="002630BB" w:rsidRPr="001E060B">
        <w:t xml:space="preserve"> with a chemical that was not FDA approved and that could potentially cause harm to </w:t>
      </w:r>
      <w:r w:rsidR="002630BB" w:rsidRPr="001E060B">
        <w:lastRenderedPageBreak/>
        <w:t xml:space="preserve">people. Funny </w:t>
      </w:r>
      <w:proofErr w:type="gramStart"/>
      <w:r w:rsidR="002630BB" w:rsidRPr="001E060B">
        <w:t>Face,Chris</w:t>
      </w:r>
      <w:proofErr w:type="gramEnd"/>
      <w:r w:rsidR="002630BB" w:rsidRPr="001E060B">
        <w:t>, Mattt, Ian and Novelty Now should be held responsible and made to cover any and all damages incurred to Margolin.</w:t>
      </w:r>
    </w:p>
    <w:p w14:paraId="40A963B8" w14:textId="77777777" w:rsidR="00C33187" w:rsidRPr="001E060B" w:rsidRDefault="00C33187" w:rsidP="001E060B">
      <w:pPr>
        <w:spacing w:line="480" w:lineRule="auto"/>
        <w:rPr>
          <w:b/>
        </w:rPr>
      </w:pPr>
      <w:r w:rsidRPr="001E060B">
        <w:rPr>
          <w:b/>
        </w:rPr>
        <w:t xml:space="preserve">G. </w:t>
      </w:r>
      <w:r w:rsidR="00CF5295" w:rsidRPr="001E060B">
        <w:rPr>
          <w:b/>
        </w:rPr>
        <w:tab/>
      </w:r>
      <w:r w:rsidRPr="001E060B">
        <w:rPr>
          <w:b/>
        </w:rPr>
        <w:t xml:space="preserve">Moral Decision-Making </w:t>
      </w:r>
    </w:p>
    <w:p w14:paraId="7253991C" w14:textId="5D23F788" w:rsidR="00E706C6" w:rsidRPr="001E060B" w:rsidRDefault="00C33187" w:rsidP="001E060B">
      <w:pPr>
        <w:spacing w:line="480" w:lineRule="auto"/>
        <w:ind w:firstLine="720"/>
      </w:pPr>
      <w:r w:rsidRPr="001E060B">
        <w:t xml:space="preserve">The </w:t>
      </w:r>
      <w:r w:rsidR="002630BB" w:rsidRPr="001E060B">
        <w:t>ethical process</w:t>
      </w:r>
      <w:r w:rsidRPr="001E060B">
        <w:t xml:space="preserve"> of basic leadership under the WPH (Whom, Purpose, How) system includes thought of three key components. </w:t>
      </w:r>
      <w:r w:rsidR="00E706C6" w:rsidRPr="001E060B">
        <w:t xml:space="preserve">An essential set of ethical guidelines that say that managerial decisions must meet a primary criterion. The decisions they make can affect a </w:t>
      </w:r>
      <w:proofErr w:type="gramStart"/>
      <w:r w:rsidR="00E706C6" w:rsidRPr="001E060B">
        <w:t>particular group</w:t>
      </w:r>
      <w:proofErr w:type="gramEnd"/>
      <w:r w:rsidR="00E706C6" w:rsidRPr="001E060B">
        <w:t xml:space="preserve"> of stakeholders in the firm. The appropriate question is whom this decision affect will. The managers decision </w:t>
      </w:r>
      <w:r w:rsidR="00D30F1C" w:rsidRPr="001E060B">
        <w:t>is</w:t>
      </w:r>
      <w:r w:rsidR="00E706C6" w:rsidRPr="001E060B">
        <w:t xml:space="preserve"> made for a particular purpose. Managers need to </w:t>
      </w:r>
      <w:r w:rsidR="00D30F1C" w:rsidRPr="001E060B">
        <w:t xml:space="preserve">guidelines so that they understand how to make the necessary decisions. </w:t>
      </w:r>
      <w:r w:rsidR="00E706C6" w:rsidRPr="001E060B">
        <w:t xml:space="preserve"> </w:t>
      </w:r>
    </w:p>
    <w:p w14:paraId="214D14F7" w14:textId="6827E6DD" w:rsidR="00E706C6" w:rsidRPr="001E060B" w:rsidRDefault="00D30F1C" w:rsidP="001E060B">
      <w:pPr>
        <w:spacing w:line="480" w:lineRule="auto"/>
        <w:ind w:firstLine="720"/>
      </w:pPr>
      <w:r w:rsidRPr="001E060B">
        <w:t xml:space="preserve">Using the WPH method to understand basic leadership, shows me that there were ethical issues that were violated in this case. Clearly, introducing PYR into the product was not a safe decision. The only purpose for using PYR was for financial gain and nothing more. If we are looking whom this decision affected, that would be the consumers of this product.  </w:t>
      </w:r>
    </w:p>
    <w:p w14:paraId="6F840454" w14:textId="77777777" w:rsidR="001234BF" w:rsidRPr="001E060B" w:rsidRDefault="001234BF" w:rsidP="001E060B">
      <w:pPr>
        <w:spacing w:line="480" w:lineRule="auto"/>
      </w:pPr>
    </w:p>
    <w:p w14:paraId="36A6F969" w14:textId="77777777" w:rsidR="001234BF" w:rsidRPr="001E060B" w:rsidRDefault="001234BF" w:rsidP="001E060B">
      <w:pPr>
        <w:spacing w:line="480" w:lineRule="auto"/>
      </w:pPr>
    </w:p>
    <w:p w14:paraId="3EBB0464" w14:textId="77777777" w:rsidR="001234BF" w:rsidRPr="001E060B" w:rsidRDefault="001234BF" w:rsidP="001E060B">
      <w:pPr>
        <w:spacing w:line="480" w:lineRule="auto"/>
      </w:pPr>
    </w:p>
    <w:p w14:paraId="27A4429A" w14:textId="77777777" w:rsidR="00E60D99" w:rsidRPr="001E060B" w:rsidRDefault="00E60D99" w:rsidP="001E060B">
      <w:pPr>
        <w:spacing w:line="480" w:lineRule="auto"/>
      </w:pPr>
    </w:p>
    <w:p w14:paraId="639BD25A" w14:textId="77777777" w:rsidR="00E60D99" w:rsidRPr="001E060B" w:rsidRDefault="00E60D99" w:rsidP="001E060B">
      <w:pPr>
        <w:spacing w:line="480" w:lineRule="auto"/>
      </w:pPr>
    </w:p>
    <w:p w14:paraId="6BE1C0AD" w14:textId="77777777" w:rsidR="00E60D99" w:rsidRPr="001E060B" w:rsidRDefault="00E60D99" w:rsidP="001E060B">
      <w:pPr>
        <w:spacing w:line="480" w:lineRule="auto"/>
      </w:pPr>
    </w:p>
    <w:p w14:paraId="4EA9A1F6" w14:textId="77777777" w:rsidR="00E60D99" w:rsidRPr="001E060B" w:rsidRDefault="00E60D99" w:rsidP="001E060B">
      <w:pPr>
        <w:spacing w:line="480" w:lineRule="auto"/>
      </w:pPr>
    </w:p>
    <w:p w14:paraId="5CB7309C" w14:textId="77777777" w:rsidR="00E60D99" w:rsidRPr="001E060B" w:rsidRDefault="00E60D99" w:rsidP="001E060B">
      <w:pPr>
        <w:spacing w:line="480" w:lineRule="auto"/>
      </w:pPr>
    </w:p>
    <w:p w14:paraId="7AD0AD21" w14:textId="77777777" w:rsidR="00E60D99" w:rsidRPr="001E060B" w:rsidRDefault="00E60D99" w:rsidP="001E060B">
      <w:pPr>
        <w:spacing w:line="480" w:lineRule="auto"/>
      </w:pPr>
    </w:p>
    <w:p w14:paraId="328ED0BD" w14:textId="77777777" w:rsidR="00E60D99" w:rsidRPr="001E060B" w:rsidRDefault="00E60D99" w:rsidP="001E060B">
      <w:pPr>
        <w:spacing w:line="480" w:lineRule="auto"/>
      </w:pPr>
    </w:p>
    <w:p w14:paraId="2BEA9EFB" w14:textId="77777777" w:rsidR="00E60D99" w:rsidRPr="001E060B" w:rsidRDefault="00E60D99" w:rsidP="001E060B">
      <w:pPr>
        <w:spacing w:line="480" w:lineRule="auto"/>
      </w:pPr>
    </w:p>
    <w:p w14:paraId="62E1BF20" w14:textId="77777777" w:rsidR="00E60D99" w:rsidRPr="001E060B" w:rsidRDefault="00E60D99" w:rsidP="001E060B">
      <w:pPr>
        <w:spacing w:line="480" w:lineRule="auto"/>
      </w:pPr>
    </w:p>
    <w:p w14:paraId="096E1475" w14:textId="77777777" w:rsidR="00E60D99" w:rsidRPr="001E060B" w:rsidRDefault="00E60D99" w:rsidP="001E060B">
      <w:pPr>
        <w:spacing w:line="480" w:lineRule="auto"/>
      </w:pPr>
    </w:p>
    <w:p w14:paraId="3C9BEAD9" w14:textId="1FB7B939" w:rsidR="00E60D99" w:rsidRPr="001E060B" w:rsidRDefault="00D30F1C" w:rsidP="001E060B">
      <w:pPr>
        <w:spacing w:line="480" w:lineRule="auto"/>
        <w:jc w:val="center"/>
      </w:pPr>
      <w:r w:rsidRPr="001E060B">
        <w:t>References</w:t>
      </w:r>
    </w:p>
    <w:p w14:paraId="71AC1981" w14:textId="607B192E" w:rsidR="00D30F1C" w:rsidRPr="001E060B" w:rsidRDefault="00D30F1C" w:rsidP="001E060B">
      <w:pPr>
        <w:pStyle w:val="Bibliography"/>
        <w:ind w:left="720" w:hanging="720"/>
        <w:rPr>
          <w:rFonts w:ascii="Times New Roman" w:hAnsi="Times New Roman" w:cs="Times New Roman"/>
          <w:noProof/>
          <w:sz w:val="24"/>
          <w:szCs w:val="24"/>
        </w:rPr>
      </w:pPr>
      <w:r w:rsidRPr="001E060B">
        <w:rPr>
          <w:rFonts w:ascii="Times New Roman" w:hAnsi="Times New Roman" w:cs="Times New Roman"/>
          <w:noProof/>
          <w:sz w:val="24"/>
          <w:szCs w:val="24"/>
        </w:rPr>
        <w:t xml:space="preserve">Kubasek, N., Browne, M. N., Herron, D. J., Giampetro-Meyer, A., Barkacs, L. L., Dhooge, L., &amp; Williamson, C. (n.d.). </w:t>
      </w:r>
      <w:r w:rsidRPr="001E060B">
        <w:rPr>
          <w:rFonts w:ascii="Times New Roman" w:hAnsi="Times New Roman" w:cs="Times New Roman"/>
          <w:i/>
          <w:iCs/>
          <w:noProof/>
          <w:sz w:val="24"/>
          <w:szCs w:val="24"/>
        </w:rPr>
        <w:t>Connect Business Law: Dynamic Business Law, 2/e.</w:t>
      </w:r>
      <w:r w:rsidRPr="001E060B">
        <w:rPr>
          <w:rFonts w:ascii="Times New Roman" w:hAnsi="Times New Roman" w:cs="Times New Roman"/>
          <w:noProof/>
          <w:sz w:val="24"/>
          <w:szCs w:val="24"/>
        </w:rPr>
        <w:t xml:space="preserve"> McGraw Hill.</w:t>
      </w:r>
    </w:p>
    <w:p w14:paraId="725B627F" w14:textId="77777777" w:rsidR="00D30F1C" w:rsidRPr="001E060B" w:rsidRDefault="00D30F1C" w:rsidP="001E060B">
      <w:pPr>
        <w:pStyle w:val="Bibliography"/>
        <w:ind w:left="720" w:hanging="720"/>
        <w:rPr>
          <w:rFonts w:ascii="Times New Roman" w:hAnsi="Times New Roman" w:cs="Times New Roman"/>
          <w:noProof/>
          <w:sz w:val="24"/>
          <w:szCs w:val="24"/>
        </w:rPr>
      </w:pPr>
      <w:r w:rsidRPr="001E060B">
        <w:rPr>
          <w:rFonts w:ascii="Times New Roman" w:hAnsi="Times New Roman" w:cs="Times New Roman"/>
          <w:noProof/>
          <w:sz w:val="24"/>
          <w:szCs w:val="24"/>
        </w:rPr>
        <w:t xml:space="preserve">Legal, U. (n.d.). </w:t>
      </w:r>
      <w:r w:rsidRPr="001E060B">
        <w:rPr>
          <w:rFonts w:ascii="Times New Roman" w:hAnsi="Times New Roman" w:cs="Times New Roman"/>
          <w:i/>
          <w:iCs/>
          <w:noProof/>
          <w:sz w:val="24"/>
          <w:szCs w:val="24"/>
        </w:rPr>
        <w:t>US Legal</w:t>
      </w:r>
      <w:r w:rsidRPr="001E060B">
        <w:rPr>
          <w:rFonts w:ascii="Times New Roman" w:hAnsi="Times New Roman" w:cs="Times New Roman"/>
          <w:noProof/>
          <w:sz w:val="24"/>
          <w:szCs w:val="24"/>
        </w:rPr>
        <w:t>. Retrieved from Definitions: http://definitions.uslegal.com/</w:t>
      </w:r>
    </w:p>
    <w:p w14:paraId="42FD2564" w14:textId="2BB5D377" w:rsidR="001E060B" w:rsidRPr="001E060B" w:rsidRDefault="00D30F1C" w:rsidP="001E060B">
      <w:pPr>
        <w:pStyle w:val="Bibliography"/>
        <w:ind w:left="720" w:hanging="720"/>
        <w:rPr>
          <w:rFonts w:ascii="Times New Roman" w:hAnsi="Times New Roman" w:cs="Times New Roman"/>
          <w:noProof/>
          <w:sz w:val="24"/>
          <w:szCs w:val="24"/>
        </w:rPr>
      </w:pPr>
      <w:r w:rsidRPr="001E060B">
        <w:rPr>
          <w:rFonts w:ascii="Times New Roman" w:hAnsi="Times New Roman" w:cs="Times New Roman"/>
          <w:noProof/>
          <w:sz w:val="24"/>
          <w:szCs w:val="24"/>
        </w:rPr>
        <w:t xml:space="preserve">Services, U. D. </w:t>
      </w:r>
      <w:r w:rsidRPr="001E060B">
        <w:rPr>
          <w:rFonts w:ascii="Times New Roman" w:hAnsi="Times New Roman" w:cs="Times New Roman"/>
          <w:i/>
          <w:iCs/>
          <w:noProof/>
          <w:sz w:val="24"/>
          <w:szCs w:val="24"/>
        </w:rPr>
        <w:t>U.S. Food and Drug Administration</w:t>
      </w:r>
      <w:r w:rsidRPr="001E060B">
        <w:rPr>
          <w:rFonts w:ascii="Times New Roman" w:hAnsi="Times New Roman" w:cs="Times New Roman"/>
          <w:noProof/>
          <w:sz w:val="24"/>
          <w:szCs w:val="24"/>
        </w:rPr>
        <w:t xml:space="preserve">. Retrieved from What does FDA do?: </w:t>
      </w:r>
      <w:hyperlink r:id="rId8" w:history="1">
        <w:r w:rsidR="001E060B" w:rsidRPr="001E060B">
          <w:rPr>
            <w:rStyle w:val="Hyperlink"/>
            <w:rFonts w:ascii="Times New Roman" w:hAnsi="Times New Roman" w:cs="Times New Roman"/>
            <w:noProof/>
            <w:sz w:val="24"/>
            <w:szCs w:val="24"/>
          </w:rPr>
          <w:t>http://www.fda.gov/AboutFDA/Transparency/Basics/ucm194877.htm</w:t>
        </w:r>
      </w:hyperlink>
    </w:p>
    <w:p w14:paraId="1FB934A1" w14:textId="5EEED8B1" w:rsidR="001E060B" w:rsidRDefault="001E060B" w:rsidP="001E060B">
      <w:pPr>
        <w:spacing w:line="480" w:lineRule="auto"/>
      </w:pPr>
      <w:r>
        <w:t xml:space="preserve">Alternative Dispute Resolution. </w:t>
      </w:r>
      <w:r w:rsidRPr="001E060B">
        <w:rPr>
          <w:i/>
        </w:rPr>
        <w:t>What is ADR?</w:t>
      </w:r>
      <w:r>
        <w:rPr>
          <w:i/>
        </w:rPr>
        <w:t xml:space="preserve"> </w:t>
      </w:r>
      <w:r>
        <w:t xml:space="preserve">Retrieved from: </w:t>
      </w:r>
      <w:hyperlink r:id="rId9" w:history="1">
        <w:r w:rsidRPr="002463CA">
          <w:rPr>
            <w:rStyle w:val="Hyperlink"/>
          </w:rPr>
          <w:t>http://ww2.nycourts.gov/ip/adr/What_Is_ADR.shtml</w:t>
        </w:r>
      </w:hyperlink>
    </w:p>
    <w:p w14:paraId="7380FF1E" w14:textId="77777777" w:rsidR="001E060B" w:rsidRPr="001E060B" w:rsidRDefault="001E060B" w:rsidP="001E060B">
      <w:pPr>
        <w:spacing w:line="480" w:lineRule="auto"/>
      </w:pPr>
    </w:p>
    <w:p w14:paraId="66498384" w14:textId="77777777" w:rsidR="00D30F1C" w:rsidRPr="001E060B" w:rsidRDefault="00D30F1C" w:rsidP="001E060B">
      <w:pPr>
        <w:spacing w:line="480" w:lineRule="auto"/>
      </w:pPr>
    </w:p>
    <w:p w14:paraId="23C236B1" w14:textId="6CB8EFE7" w:rsidR="00D30F1C" w:rsidRPr="001E060B" w:rsidRDefault="00D30F1C" w:rsidP="001E060B">
      <w:pPr>
        <w:spacing w:line="480" w:lineRule="auto"/>
      </w:pPr>
    </w:p>
    <w:p w14:paraId="0DD85553" w14:textId="3F4E13EA" w:rsidR="00D30F1C" w:rsidRPr="001E060B" w:rsidRDefault="00D30F1C" w:rsidP="001E060B">
      <w:pPr>
        <w:spacing w:line="480" w:lineRule="auto"/>
      </w:pPr>
    </w:p>
    <w:p w14:paraId="60DE9CEC" w14:textId="190AFF90" w:rsidR="00E60D99" w:rsidRPr="001E060B" w:rsidRDefault="00E60D99" w:rsidP="001E060B">
      <w:pPr>
        <w:spacing w:line="480" w:lineRule="auto"/>
        <w:rPr>
          <w:b/>
          <w:bCs/>
        </w:rPr>
      </w:pPr>
    </w:p>
    <w:p w14:paraId="5736FABA" w14:textId="77777777" w:rsidR="001234BF" w:rsidRPr="001E060B" w:rsidRDefault="001234BF" w:rsidP="001E060B">
      <w:pPr>
        <w:spacing w:line="480" w:lineRule="auto"/>
      </w:pPr>
    </w:p>
    <w:p w14:paraId="733D881C" w14:textId="77777777" w:rsidR="001234BF" w:rsidRPr="001E060B" w:rsidRDefault="001234BF" w:rsidP="001E060B">
      <w:pPr>
        <w:spacing w:line="480" w:lineRule="auto"/>
      </w:pPr>
    </w:p>
    <w:p w14:paraId="1A9B9282" w14:textId="77777777" w:rsidR="001234BF" w:rsidRPr="001E060B" w:rsidRDefault="001234BF" w:rsidP="001E060B">
      <w:pPr>
        <w:spacing w:line="480" w:lineRule="auto"/>
      </w:pPr>
    </w:p>
    <w:p w14:paraId="5D505446" w14:textId="77777777" w:rsidR="001234BF" w:rsidRPr="001E060B" w:rsidRDefault="001234BF" w:rsidP="001E060B">
      <w:pPr>
        <w:spacing w:line="480" w:lineRule="auto"/>
      </w:pPr>
    </w:p>
    <w:p w14:paraId="6DBDF378" w14:textId="77777777" w:rsidR="001234BF" w:rsidRPr="001E060B" w:rsidRDefault="001234BF" w:rsidP="001E060B">
      <w:pPr>
        <w:spacing w:line="480" w:lineRule="auto"/>
      </w:pPr>
    </w:p>
    <w:p w14:paraId="2B322DF8" w14:textId="77777777" w:rsidR="001234BF" w:rsidRPr="001E060B" w:rsidRDefault="001234BF" w:rsidP="001E060B">
      <w:pPr>
        <w:spacing w:line="480" w:lineRule="auto"/>
      </w:pPr>
    </w:p>
    <w:p w14:paraId="3F1A41CF" w14:textId="77777777" w:rsidR="001234BF" w:rsidRPr="001E060B" w:rsidRDefault="001234BF" w:rsidP="001E060B">
      <w:pPr>
        <w:spacing w:line="480" w:lineRule="auto"/>
      </w:pPr>
    </w:p>
    <w:p w14:paraId="6D5B7D4F" w14:textId="77777777" w:rsidR="001234BF" w:rsidRPr="001E060B" w:rsidRDefault="001234BF" w:rsidP="001E060B">
      <w:pPr>
        <w:spacing w:line="480" w:lineRule="auto"/>
      </w:pPr>
    </w:p>
    <w:p w14:paraId="69E33B1B" w14:textId="77777777" w:rsidR="001234BF" w:rsidRPr="001E060B" w:rsidRDefault="001234BF" w:rsidP="001E060B">
      <w:pPr>
        <w:spacing w:line="480" w:lineRule="auto"/>
      </w:pPr>
    </w:p>
    <w:p w14:paraId="4D5F5AF1" w14:textId="77777777" w:rsidR="001234BF" w:rsidRPr="001E060B" w:rsidRDefault="001234BF" w:rsidP="001E060B">
      <w:pPr>
        <w:spacing w:line="480" w:lineRule="auto"/>
      </w:pPr>
    </w:p>
    <w:p w14:paraId="5E30AB1D" w14:textId="77777777" w:rsidR="001234BF" w:rsidRPr="001E060B" w:rsidRDefault="001234BF" w:rsidP="001E060B">
      <w:pPr>
        <w:spacing w:line="480" w:lineRule="auto"/>
      </w:pPr>
    </w:p>
    <w:p w14:paraId="0C215007" w14:textId="77777777" w:rsidR="001234BF" w:rsidRPr="001E060B" w:rsidRDefault="001234BF" w:rsidP="001E060B">
      <w:pPr>
        <w:spacing w:line="480" w:lineRule="auto"/>
      </w:pPr>
    </w:p>
    <w:p w14:paraId="7507E3DF" w14:textId="77777777" w:rsidR="001234BF" w:rsidRPr="001E060B" w:rsidRDefault="001234BF" w:rsidP="001E060B">
      <w:pPr>
        <w:spacing w:line="480" w:lineRule="auto"/>
      </w:pPr>
    </w:p>
    <w:p w14:paraId="4ABDDF37" w14:textId="77777777" w:rsidR="001234BF" w:rsidRPr="001E060B" w:rsidRDefault="001234BF" w:rsidP="001E060B">
      <w:pPr>
        <w:spacing w:line="480" w:lineRule="auto"/>
      </w:pPr>
    </w:p>
    <w:p w14:paraId="71292EE6" w14:textId="77777777" w:rsidR="001234BF" w:rsidRPr="001E060B" w:rsidRDefault="001234BF" w:rsidP="001E060B">
      <w:pPr>
        <w:spacing w:line="480" w:lineRule="auto"/>
      </w:pPr>
    </w:p>
    <w:p w14:paraId="53F9194D" w14:textId="77777777" w:rsidR="001234BF" w:rsidRDefault="001234BF"/>
    <w:p w14:paraId="164C809B" w14:textId="77777777" w:rsidR="001234BF" w:rsidRDefault="001234BF"/>
    <w:p w14:paraId="0FEE87CA" w14:textId="77777777" w:rsidR="001234BF" w:rsidRDefault="001234BF"/>
    <w:p w14:paraId="4CDBFCD1" w14:textId="77777777" w:rsidR="001234BF" w:rsidRDefault="001234BF"/>
    <w:p w14:paraId="2E7EACC0" w14:textId="77777777" w:rsidR="001234BF" w:rsidRDefault="001234BF"/>
    <w:p w14:paraId="4CB61EE3" w14:textId="77777777" w:rsidR="001234BF" w:rsidRDefault="001234BF"/>
    <w:p w14:paraId="01CBBBD7" w14:textId="77777777" w:rsidR="001234BF" w:rsidRDefault="001234BF"/>
    <w:p w14:paraId="7FF1E49E" w14:textId="77777777" w:rsidR="001234BF" w:rsidRDefault="001234BF"/>
    <w:p w14:paraId="7DDC8678" w14:textId="77777777" w:rsidR="001234BF" w:rsidRDefault="001234BF"/>
    <w:p w14:paraId="101FB14B" w14:textId="77777777" w:rsidR="001234BF" w:rsidRDefault="001234BF"/>
    <w:sectPr w:rsidR="001234BF" w:rsidSect="00F37E9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C7BD5" w14:textId="77777777" w:rsidR="00470E94" w:rsidRDefault="00470E94" w:rsidP="001234BF">
      <w:pPr>
        <w:spacing w:after="0" w:line="240" w:lineRule="auto"/>
      </w:pPr>
      <w:r>
        <w:separator/>
      </w:r>
    </w:p>
  </w:endnote>
  <w:endnote w:type="continuationSeparator" w:id="0">
    <w:p w14:paraId="426E8163" w14:textId="77777777" w:rsidR="00470E94" w:rsidRDefault="00470E94" w:rsidP="0012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52122" w14:textId="77777777" w:rsidR="00470E94" w:rsidRDefault="00470E94" w:rsidP="001234BF">
      <w:pPr>
        <w:spacing w:after="0" w:line="240" w:lineRule="auto"/>
      </w:pPr>
      <w:r>
        <w:separator/>
      </w:r>
    </w:p>
  </w:footnote>
  <w:footnote w:type="continuationSeparator" w:id="0">
    <w:p w14:paraId="2A97F510" w14:textId="77777777" w:rsidR="00470E94" w:rsidRDefault="00470E94" w:rsidP="00123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764796"/>
      <w:docPartObj>
        <w:docPartGallery w:val="Page Numbers (Top of Page)"/>
        <w:docPartUnique/>
      </w:docPartObj>
    </w:sdtPr>
    <w:sdtEndPr/>
    <w:sdtContent>
      <w:p w14:paraId="4652BEDF" w14:textId="77777777" w:rsidR="00697138" w:rsidRDefault="00697138" w:rsidP="001234BF">
        <w:pPr>
          <w:pStyle w:val="Header"/>
        </w:pPr>
        <w:r w:rsidRPr="000C53DD">
          <w:t>3-2 MILESTONE ONE: CASE STUDY ONE</w:t>
        </w:r>
        <w:r w:rsidRPr="00AD0F9E">
          <w:t xml:space="preserve">   </w:t>
        </w:r>
        <w:r>
          <w:tab/>
        </w:r>
        <w:r>
          <w:tab/>
        </w:r>
        <w:r w:rsidR="0067191F">
          <w:rPr>
            <w:noProof/>
          </w:rPr>
          <w:fldChar w:fldCharType="begin"/>
        </w:r>
        <w:r w:rsidR="0067191F">
          <w:rPr>
            <w:noProof/>
          </w:rPr>
          <w:instrText xml:space="preserve"> PAGE   \* MERGEFORMAT </w:instrText>
        </w:r>
        <w:r w:rsidR="0067191F">
          <w:rPr>
            <w:noProof/>
          </w:rPr>
          <w:fldChar w:fldCharType="separate"/>
        </w:r>
        <w:r w:rsidR="00287EA6">
          <w:rPr>
            <w:noProof/>
          </w:rPr>
          <w:t>1</w:t>
        </w:r>
        <w:r w:rsidR="0067191F">
          <w:rPr>
            <w:noProof/>
          </w:rPr>
          <w:fldChar w:fldCharType="end"/>
        </w:r>
      </w:p>
    </w:sdtContent>
  </w:sdt>
  <w:p w14:paraId="6F715C62" w14:textId="77777777" w:rsidR="00697138" w:rsidRDefault="006971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B3989"/>
    <w:multiLevelType w:val="hybridMultilevel"/>
    <w:tmpl w:val="F3FCAB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3009BA"/>
    <w:multiLevelType w:val="hybridMultilevel"/>
    <w:tmpl w:val="87FC479A"/>
    <w:lvl w:ilvl="0" w:tplc="13226BE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EF53EF"/>
    <w:multiLevelType w:val="multilevel"/>
    <w:tmpl w:val="5E12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FE6975"/>
    <w:multiLevelType w:val="hybridMultilevel"/>
    <w:tmpl w:val="9716CCF2"/>
    <w:lvl w:ilvl="0" w:tplc="C9961BF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5033F1"/>
    <w:multiLevelType w:val="multilevel"/>
    <w:tmpl w:val="A6AC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4BF"/>
    <w:rsid w:val="000A41BC"/>
    <w:rsid w:val="001234BF"/>
    <w:rsid w:val="001470B3"/>
    <w:rsid w:val="001470CD"/>
    <w:rsid w:val="00182A9F"/>
    <w:rsid w:val="001B21FB"/>
    <w:rsid w:val="001E060B"/>
    <w:rsid w:val="002241EC"/>
    <w:rsid w:val="002630BB"/>
    <w:rsid w:val="00287EA6"/>
    <w:rsid w:val="002C729D"/>
    <w:rsid w:val="002E06EF"/>
    <w:rsid w:val="0030661E"/>
    <w:rsid w:val="003A5BED"/>
    <w:rsid w:val="003B4126"/>
    <w:rsid w:val="003B61E5"/>
    <w:rsid w:val="003E056E"/>
    <w:rsid w:val="00470E94"/>
    <w:rsid w:val="004F5BF4"/>
    <w:rsid w:val="004F70E2"/>
    <w:rsid w:val="005323A3"/>
    <w:rsid w:val="005C7AF1"/>
    <w:rsid w:val="005E77DA"/>
    <w:rsid w:val="005F1E7F"/>
    <w:rsid w:val="0067191F"/>
    <w:rsid w:val="00674DBD"/>
    <w:rsid w:val="00697138"/>
    <w:rsid w:val="006D2545"/>
    <w:rsid w:val="007D7C6C"/>
    <w:rsid w:val="00862E05"/>
    <w:rsid w:val="008A7E63"/>
    <w:rsid w:val="008B1825"/>
    <w:rsid w:val="0093046E"/>
    <w:rsid w:val="00977259"/>
    <w:rsid w:val="009C192F"/>
    <w:rsid w:val="009D74D6"/>
    <w:rsid w:val="009E3996"/>
    <w:rsid w:val="00A11353"/>
    <w:rsid w:val="00A15C30"/>
    <w:rsid w:val="00AB6D8E"/>
    <w:rsid w:val="00AD6D6E"/>
    <w:rsid w:val="00AE0817"/>
    <w:rsid w:val="00AF31CE"/>
    <w:rsid w:val="00B11794"/>
    <w:rsid w:val="00B22CA9"/>
    <w:rsid w:val="00B25283"/>
    <w:rsid w:val="00B25963"/>
    <w:rsid w:val="00B76390"/>
    <w:rsid w:val="00BA443B"/>
    <w:rsid w:val="00BF3898"/>
    <w:rsid w:val="00C27D49"/>
    <w:rsid w:val="00C33187"/>
    <w:rsid w:val="00C83FA9"/>
    <w:rsid w:val="00CF5295"/>
    <w:rsid w:val="00D036BA"/>
    <w:rsid w:val="00D14177"/>
    <w:rsid w:val="00D30F1C"/>
    <w:rsid w:val="00D56414"/>
    <w:rsid w:val="00D913A9"/>
    <w:rsid w:val="00DA5A02"/>
    <w:rsid w:val="00DC1DD4"/>
    <w:rsid w:val="00E60D99"/>
    <w:rsid w:val="00E706C6"/>
    <w:rsid w:val="00EF04CB"/>
    <w:rsid w:val="00F014D1"/>
    <w:rsid w:val="00F23C99"/>
    <w:rsid w:val="00F2637C"/>
    <w:rsid w:val="00F37E93"/>
    <w:rsid w:val="00F645A3"/>
    <w:rsid w:val="00F70965"/>
    <w:rsid w:val="00FC57D3"/>
    <w:rsid w:val="00FC6593"/>
    <w:rsid w:val="00FD0982"/>
    <w:rsid w:val="00FE46A7"/>
    <w:rsid w:val="00FF5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DCE3"/>
  <w15:docId w15:val="{8321F499-77D8-4FFC-A816-FB708FD0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46A7"/>
  </w:style>
  <w:style w:type="paragraph" w:styleId="Heading1">
    <w:name w:val="heading 1"/>
    <w:basedOn w:val="Normal"/>
    <w:next w:val="Normal"/>
    <w:link w:val="Heading1Char"/>
    <w:uiPriority w:val="9"/>
    <w:qFormat/>
    <w:rsid w:val="00E60D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4BF"/>
  </w:style>
  <w:style w:type="paragraph" w:styleId="Footer">
    <w:name w:val="footer"/>
    <w:basedOn w:val="Normal"/>
    <w:link w:val="FooterChar"/>
    <w:uiPriority w:val="99"/>
    <w:semiHidden/>
    <w:unhideWhenUsed/>
    <w:rsid w:val="001234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34BF"/>
  </w:style>
  <w:style w:type="paragraph" w:styleId="BalloonText">
    <w:name w:val="Balloon Text"/>
    <w:basedOn w:val="Normal"/>
    <w:link w:val="BalloonTextChar"/>
    <w:uiPriority w:val="99"/>
    <w:semiHidden/>
    <w:unhideWhenUsed/>
    <w:rsid w:val="00123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4BF"/>
    <w:rPr>
      <w:rFonts w:ascii="Tahoma" w:hAnsi="Tahoma" w:cs="Tahoma"/>
      <w:sz w:val="16"/>
      <w:szCs w:val="16"/>
    </w:rPr>
  </w:style>
  <w:style w:type="character" w:customStyle="1" w:styleId="apple-converted-space">
    <w:name w:val="apple-converted-space"/>
    <w:basedOn w:val="DefaultParagraphFont"/>
    <w:rsid w:val="00697138"/>
  </w:style>
  <w:style w:type="character" w:styleId="Hyperlink">
    <w:name w:val="Hyperlink"/>
    <w:basedOn w:val="DefaultParagraphFont"/>
    <w:uiPriority w:val="99"/>
    <w:unhideWhenUsed/>
    <w:rsid w:val="00697138"/>
    <w:rPr>
      <w:color w:val="0000FF"/>
      <w:u w:val="single"/>
    </w:rPr>
  </w:style>
  <w:style w:type="paragraph" w:styleId="NormalWeb">
    <w:name w:val="Normal (Web)"/>
    <w:basedOn w:val="Normal"/>
    <w:uiPriority w:val="99"/>
    <w:unhideWhenUsed/>
    <w:rsid w:val="00697138"/>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E60D9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60D99"/>
    <w:pPr>
      <w:spacing w:line="480" w:lineRule="auto"/>
    </w:pPr>
    <w:rPr>
      <w:rFonts w:asciiTheme="minorHAnsi" w:hAnsiTheme="minorHAnsi" w:cstheme="minorBidi"/>
      <w:sz w:val="22"/>
      <w:szCs w:val="22"/>
    </w:rPr>
  </w:style>
  <w:style w:type="paragraph" w:styleId="ListParagraph">
    <w:name w:val="List Paragraph"/>
    <w:basedOn w:val="Normal"/>
    <w:uiPriority w:val="34"/>
    <w:qFormat/>
    <w:rsid w:val="00D036BA"/>
    <w:pPr>
      <w:ind w:left="720"/>
      <w:contextualSpacing/>
    </w:pPr>
  </w:style>
  <w:style w:type="character" w:customStyle="1" w:styleId="hvr">
    <w:name w:val="hvr"/>
    <w:basedOn w:val="DefaultParagraphFont"/>
    <w:rsid w:val="00F70965"/>
  </w:style>
  <w:style w:type="character" w:styleId="UnresolvedMention">
    <w:name w:val="Unresolved Mention"/>
    <w:basedOn w:val="DefaultParagraphFont"/>
    <w:uiPriority w:val="99"/>
    <w:semiHidden/>
    <w:unhideWhenUsed/>
    <w:rsid w:val="001E0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518354">
      <w:bodyDiv w:val="1"/>
      <w:marLeft w:val="0"/>
      <w:marRight w:val="0"/>
      <w:marTop w:val="0"/>
      <w:marBottom w:val="0"/>
      <w:divBdr>
        <w:top w:val="none" w:sz="0" w:space="0" w:color="auto"/>
        <w:left w:val="none" w:sz="0" w:space="0" w:color="auto"/>
        <w:bottom w:val="none" w:sz="0" w:space="0" w:color="auto"/>
        <w:right w:val="none" w:sz="0" w:space="0" w:color="auto"/>
      </w:divBdr>
    </w:div>
    <w:div w:id="382561118">
      <w:bodyDiv w:val="1"/>
      <w:marLeft w:val="0"/>
      <w:marRight w:val="0"/>
      <w:marTop w:val="0"/>
      <w:marBottom w:val="0"/>
      <w:divBdr>
        <w:top w:val="none" w:sz="0" w:space="0" w:color="auto"/>
        <w:left w:val="none" w:sz="0" w:space="0" w:color="auto"/>
        <w:bottom w:val="none" w:sz="0" w:space="0" w:color="auto"/>
        <w:right w:val="none" w:sz="0" w:space="0" w:color="auto"/>
      </w:divBdr>
    </w:div>
    <w:div w:id="425926674">
      <w:bodyDiv w:val="1"/>
      <w:marLeft w:val="0"/>
      <w:marRight w:val="0"/>
      <w:marTop w:val="0"/>
      <w:marBottom w:val="0"/>
      <w:divBdr>
        <w:top w:val="none" w:sz="0" w:space="0" w:color="auto"/>
        <w:left w:val="none" w:sz="0" w:space="0" w:color="auto"/>
        <w:bottom w:val="none" w:sz="0" w:space="0" w:color="auto"/>
        <w:right w:val="none" w:sz="0" w:space="0" w:color="auto"/>
      </w:divBdr>
    </w:div>
    <w:div w:id="1118642858">
      <w:bodyDiv w:val="1"/>
      <w:marLeft w:val="0"/>
      <w:marRight w:val="0"/>
      <w:marTop w:val="0"/>
      <w:marBottom w:val="0"/>
      <w:divBdr>
        <w:top w:val="none" w:sz="0" w:space="0" w:color="auto"/>
        <w:left w:val="none" w:sz="0" w:space="0" w:color="auto"/>
        <w:bottom w:val="none" w:sz="0" w:space="0" w:color="auto"/>
        <w:right w:val="none" w:sz="0" w:space="0" w:color="auto"/>
      </w:divBdr>
    </w:div>
    <w:div w:id="1124235222">
      <w:bodyDiv w:val="1"/>
      <w:marLeft w:val="0"/>
      <w:marRight w:val="0"/>
      <w:marTop w:val="0"/>
      <w:marBottom w:val="0"/>
      <w:divBdr>
        <w:top w:val="none" w:sz="0" w:space="0" w:color="auto"/>
        <w:left w:val="none" w:sz="0" w:space="0" w:color="auto"/>
        <w:bottom w:val="none" w:sz="0" w:space="0" w:color="auto"/>
        <w:right w:val="none" w:sz="0" w:space="0" w:color="auto"/>
      </w:divBdr>
    </w:div>
    <w:div w:id="1178471502">
      <w:bodyDiv w:val="1"/>
      <w:marLeft w:val="0"/>
      <w:marRight w:val="0"/>
      <w:marTop w:val="0"/>
      <w:marBottom w:val="0"/>
      <w:divBdr>
        <w:top w:val="none" w:sz="0" w:space="0" w:color="auto"/>
        <w:left w:val="none" w:sz="0" w:space="0" w:color="auto"/>
        <w:bottom w:val="none" w:sz="0" w:space="0" w:color="auto"/>
        <w:right w:val="none" w:sz="0" w:space="0" w:color="auto"/>
      </w:divBdr>
    </w:div>
    <w:div w:id="1368918515">
      <w:bodyDiv w:val="1"/>
      <w:marLeft w:val="0"/>
      <w:marRight w:val="0"/>
      <w:marTop w:val="0"/>
      <w:marBottom w:val="0"/>
      <w:divBdr>
        <w:top w:val="none" w:sz="0" w:space="0" w:color="auto"/>
        <w:left w:val="none" w:sz="0" w:space="0" w:color="auto"/>
        <w:bottom w:val="none" w:sz="0" w:space="0" w:color="auto"/>
        <w:right w:val="none" w:sz="0" w:space="0" w:color="auto"/>
      </w:divBdr>
    </w:div>
    <w:div w:id="1573856961">
      <w:bodyDiv w:val="1"/>
      <w:marLeft w:val="0"/>
      <w:marRight w:val="0"/>
      <w:marTop w:val="0"/>
      <w:marBottom w:val="0"/>
      <w:divBdr>
        <w:top w:val="none" w:sz="0" w:space="0" w:color="auto"/>
        <w:left w:val="none" w:sz="0" w:space="0" w:color="auto"/>
        <w:bottom w:val="none" w:sz="0" w:space="0" w:color="auto"/>
        <w:right w:val="none" w:sz="0" w:space="0" w:color="auto"/>
      </w:divBdr>
    </w:div>
    <w:div w:id="1833638725">
      <w:bodyDiv w:val="1"/>
      <w:marLeft w:val="0"/>
      <w:marRight w:val="0"/>
      <w:marTop w:val="0"/>
      <w:marBottom w:val="0"/>
      <w:divBdr>
        <w:top w:val="none" w:sz="0" w:space="0" w:color="auto"/>
        <w:left w:val="none" w:sz="0" w:space="0" w:color="auto"/>
        <w:bottom w:val="none" w:sz="0" w:space="0" w:color="auto"/>
        <w:right w:val="none" w:sz="0" w:space="0" w:color="auto"/>
      </w:divBdr>
    </w:div>
    <w:div w:id="186702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da.gov/AboutFDA/Transparency/Basics/ucm194877.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2.nycourts.gov/ip/adr/What_Is_AD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Kub</b:Tag>
    <b:SourceType>Book</b:SourceType>
    <b:Guid>{7EC7BA25-C968-4E3D-9F71-97E81980150E}</b:Guid>
    <b:Title>Connect Business Law: Dynamic Business Law, 2/e</b:Title>
    <b:Author>
      <b:Author>
        <b:NameList>
          <b:Person>
            <b:Last>Kubasek</b:Last>
            <b:First>Nancy</b:First>
          </b:Person>
          <b:Person>
            <b:Last>Browne</b:Last>
            <b:First>M.</b:First>
            <b:Middle>Neil</b:Middle>
          </b:Person>
          <b:Person>
            <b:Last>Herron</b:Last>
            <b:First>Daniel</b:First>
            <b:Middle>J.</b:Middle>
          </b:Person>
          <b:Person>
            <b:Last>Giampetro-Meyer</b:Last>
            <b:First>Andrea</b:First>
          </b:Person>
          <b:Person>
            <b:Last>Barkacs</b:Last>
            <b:First>Linda</b:First>
            <b:Middle>L.</b:Middle>
          </b:Person>
          <b:Person>
            <b:Last>Dhooge</b:Last>
            <b:First>Lucien</b:First>
          </b:Person>
          <b:Person>
            <b:Last>Williamson</b:Last>
            <b:First>Carrie</b:First>
          </b:Person>
        </b:NameList>
      </b:Author>
    </b:Author>
    <b:Publisher>McGraw Hill</b:Publisher>
    <b:RefOrder>1</b:RefOrder>
  </b:Source>
  <b:Source>
    <b:Tag>USL</b:Tag>
    <b:SourceType>InternetSite</b:SourceType>
    <b:Guid>{F1C6534E-3C17-4B09-BAED-5686142C0F00}</b:Guid>
    <b:Title>US Legal</b:Title>
    <b:Author>
      <b:Author>
        <b:NameList>
          <b:Person>
            <b:Last>Legal</b:Last>
            <b:First>US</b:First>
          </b:Person>
        </b:NameList>
      </b:Author>
    </b:Author>
    <b:InternetSiteTitle>Definitions</b:InternetSiteTitle>
    <b:URL>http://definitions.uslegal.com/</b:URL>
    <b:RefOrder>2</b:RefOrder>
  </b:Source>
  <b:Source>
    <b:Tag>USD</b:Tag>
    <b:SourceType>InternetSite</b:SourceType>
    <b:Guid>{41AC065C-B708-483E-A0BB-2496495B040F}</b:Guid>
    <b:Author>
      <b:Author>
        <b:NameList>
          <b:Person>
            <b:Last>Services</b:Last>
            <b:First>U.S.</b:First>
            <b:Middle>Department of Health and Human</b:Middle>
          </b:Person>
        </b:NameList>
      </b:Author>
    </b:Author>
    <b:Title>U.S. Food and Drug Administration</b:Title>
    <b:InternetSiteTitle>What does FDA do?</b:InternetSiteTitle>
    <b:URL>http://www.fda.gov/AboutFDA/Transparency/Basics/ucm194877.htm</b:URL>
    <b:RefOrder>3</b:RefOrder>
  </b:Source>
</b:Sources>
</file>

<file path=customXml/itemProps1.xml><?xml version="1.0" encoding="utf-8"?>
<ds:datastoreItem xmlns:ds="http://schemas.openxmlformats.org/officeDocument/2006/customXml" ds:itemID="{02B7DB64-6906-47B1-A9C5-8B3535E97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dzidula</dc:creator>
  <cp:lastModifiedBy>Noel Figueroa</cp:lastModifiedBy>
  <cp:revision>2</cp:revision>
  <dcterms:created xsi:type="dcterms:W3CDTF">2018-12-12T03:02:00Z</dcterms:created>
  <dcterms:modified xsi:type="dcterms:W3CDTF">2018-12-12T03:02:00Z</dcterms:modified>
</cp:coreProperties>
</file>